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Fonts w:hint="eastAsia" w:ascii="仿宋" w:hAnsi="仿宋" w:eastAsia="仿宋" w:cs="仿宋"/>
          <w:sz w:val="32"/>
          <w:szCs w:val="32"/>
        </w:rPr>
      </w:pPr>
      <w:r>
        <w:rPr>
          <w:rFonts w:hint="eastAsia" w:ascii="仿宋" w:hAnsi="仿宋" w:eastAsia="仿宋" w:cs="仿宋"/>
          <w:sz w:val="32"/>
          <w:szCs w:val="32"/>
        </w:rPr>
        <w:t>1.停用</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rPr>
        <w:t xml:space="preserve">1    </w:t>
      </w:r>
      <w:r>
        <w:rPr>
          <w:rFonts w:hint="eastAsia" w:ascii="仿宋" w:hAnsi="仿宋" w:eastAsia="仿宋" w:cs="仿宋"/>
          <w:sz w:val="32"/>
          <w:szCs w:val="32"/>
        </w:rPr>
        <w:t>特种设备变更登记申请表（1式</w:t>
      </w:r>
      <w:r>
        <w:rPr>
          <w:rFonts w:hint="eastAsia" w:ascii="仿宋" w:hAnsi="仿宋" w:eastAsia="仿宋" w:cs="仿宋"/>
          <w:sz w:val="32"/>
          <w:szCs w:val="32"/>
        </w:rPr>
        <w:t>3</w:t>
      </w:r>
      <w:r>
        <w:rPr>
          <w:rFonts w:hint="eastAsia" w:ascii="仿宋" w:hAnsi="仿宋" w:eastAsia="仿宋" w:cs="仿宋"/>
          <w:sz w:val="32"/>
          <w:szCs w:val="32"/>
        </w:rPr>
        <w:t>份）</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1.2.1  使用单位和产权单位含有统一社会信用代码的证明或者个人身份证明（适用于公民个人所有的特种设备）复印件（1份）（注：本市企业可使用电子营业执照代替本市签发的纸质营业执照，须出具注明企业统一社会信用代码和企业名称的电子营业执照授权使用委托书原件）</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1.2.2  委托书原件（适用于委托他人办理）（1份）</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1.2.3  办理人员身份证复印件（办理人员应为申请单位法定代表人或受委托人；办理人员可携带身份证件原件，交由受理部门代为复印）（1份）</w:t>
      </w:r>
      <w:bookmarkStart w:id="0" w:name="_GoBack"/>
      <w:bookmarkEnd w:id="0"/>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E9641E"/>
    <w:rsid w:val="29E964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市工商行政管理局</Company>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2020-12-02T01:20:00Z</dcterms:created>
  <dc:creator>Administrator</dc:creator>
  <cp:lastModifiedBy>Administrator</cp:lastModifiedBy>
  <dcterms:modified xsi:type="dcterms:W3CDTF">2020-12-02T01:21:31Z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