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verflowPunct w:val="0"/>
        <w:spacing w:before="0" w:after="0" w:line="440" w:lineRule="exact"/>
      </w:pPr>
      <w:bookmarkStart w:id="1" w:name="_GoBack"/>
      <w:bookmarkStart w:id="0" w:name="_Toc18129"/>
      <w:r>
        <w:rPr>
          <w:rFonts w:hint="eastAsia"/>
        </w:rPr>
        <w:t>合伙企业注销登记提交材料规范</w:t>
      </w:r>
      <w:bookmarkEnd w:id="1"/>
      <w:bookmarkEnd w:id="0"/>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pPr>
      <w:r>
        <w:rPr>
          <w:rFonts w:hint="eastAsia" w:ascii="宋体" w:hAnsi="宋体"/>
          <w:bCs/>
          <w:szCs w:val="24"/>
        </w:rPr>
        <w:t>2</w:t>
      </w:r>
      <w:r>
        <w:rPr>
          <w:rFonts w:ascii="宋体" w:hAnsi="宋体"/>
          <w:bCs/>
          <w:szCs w:val="24"/>
        </w:rPr>
        <w:t>.</w:t>
      </w:r>
      <w:r>
        <w:rPr>
          <w:rFonts w:hint="eastAsia" w:ascii="宋体" w:hAnsi="宋体"/>
          <w:bCs/>
          <w:szCs w:val="24"/>
        </w:rPr>
        <w:t>合伙企业依照《合伙企业法》作出</w:t>
      </w:r>
      <w:r>
        <w:rPr>
          <w:rFonts w:hint="eastAsia" w:ascii="宋体" w:hAnsi="宋体" w:cs="仿宋_GB2312"/>
          <w:szCs w:val="24"/>
        </w:rPr>
        <w:t>解散的决议或者决定</w:t>
      </w:r>
      <w:r>
        <w:rPr>
          <w:rFonts w:hint="eastAsia" w:ascii="宋体" w:hAnsi="宋体"/>
          <w:bCs/>
          <w:szCs w:val="24"/>
        </w:rPr>
        <w:t>，人民法院的破产裁定、解散裁判文书。被行政机关依法责令关闭的、依法被吊销营业执照或被</w:t>
      </w:r>
      <w:r>
        <w:rPr>
          <w:rFonts w:hint="eastAsia"/>
        </w:rPr>
        <w:t>撤销市场主体登记的，提交被责令关闭、被吊销营业执照或被撤销市场主体登记的文件。</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rPr>
          <w:rFonts w:ascii="宋体" w:hAnsi="宋体"/>
          <w:bCs/>
          <w:szCs w:val="24"/>
        </w:rPr>
      </w:pPr>
      <w:r>
        <w:rPr>
          <w:rFonts w:hint="eastAsia" w:ascii="宋体" w:hAnsi="宋体"/>
          <w:bCs/>
          <w:szCs w:val="24"/>
        </w:rPr>
        <w:t>4</w:t>
      </w:r>
      <w:r>
        <w:rPr>
          <w:rFonts w:ascii="宋体" w:hAnsi="宋体"/>
          <w:bCs/>
          <w:szCs w:val="24"/>
        </w:rPr>
        <w:t>.</w:t>
      </w:r>
      <w:r>
        <w:rPr>
          <w:rFonts w:hint="eastAsia" w:cs="宋体" w:asciiTheme="minorEastAsia" w:hAnsiTheme="minorEastAsia"/>
          <w:szCs w:val="24"/>
        </w:rPr>
        <w:t>全体合伙人签署</w:t>
      </w:r>
      <w:r>
        <w:rPr>
          <w:rFonts w:hint="eastAsia" w:ascii="宋体" w:hAnsi="宋体"/>
          <w:bCs/>
          <w:szCs w:val="24"/>
        </w:rPr>
        <w:t>的清算报告。</w:t>
      </w:r>
    </w:p>
    <w:p>
      <w:pPr>
        <w:widowControl/>
        <w:overflowPunct w:val="0"/>
        <w:spacing w:line="440" w:lineRule="exact"/>
        <w:ind w:firstLine="480"/>
        <w:rPr>
          <w:rFonts w:ascii="宋体" w:hAnsi="宋体"/>
          <w:bCs/>
          <w:szCs w:val="24"/>
        </w:rPr>
      </w:pPr>
      <w:r>
        <w:rPr>
          <w:rFonts w:hint="eastAsia" w:ascii="宋体" w:hAnsi="宋体"/>
          <w:bCs/>
          <w:szCs w:val="24"/>
        </w:rPr>
        <w:t>5.清税证明材料（登记机关和税务部门已共享清税信息的，无需提交纸质清税证明材料）。</w:t>
      </w:r>
    </w:p>
    <w:p>
      <w:pPr>
        <w:widowControl/>
        <w:overflowPunct w:val="0"/>
        <w:spacing w:line="440" w:lineRule="exact"/>
        <w:ind w:firstLine="480"/>
        <w:rPr>
          <w:rFonts w:ascii="宋体" w:hAnsi="宋体"/>
          <w:bCs/>
          <w:szCs w:val="24"/>
        </w:rPr>
      </w:pPr>
      <w:r>
        <w:rPr>
          <w:rFonts w:hint="eastAsia" w:ascii="宋体" w:hAnsi="宋体"/>
          <w:bCs/>
          <w:szCs w:val="24"/>
        </w:rPr>
        <w:t>6.仅通过报纸发布债权人公告的，需要提交依法刊登公告的报纸样张。</w:t>
      </w:r>
    </w:p>
    <w:p>
      <w:pPr>
        <w:pStyle w:val="8"/>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7.法律、行政法规或者国务院规定注销合伙企业须经批准的，提交有关批准文件复印件。</w:t>
      </w:r>
    </w:p>
    <w:p>
      <w:pPr>
        <w:pStyle w:val="8"/>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8.已领取纸质版营业执照的缴回营业执照正、副本。</w:t>
      </w:r>
    </w:p>
    <w:p>
      <w:pPr>
        <w:widowControl/>
        <w:overflowPunct w:val="0"/>
        <w:spacing w:line="440" w:lineRule="exact"/>
        <w:ind w:firstLine="480" w:firstLineChars="200"/>
        <w:rPr>
          <w:rFonts w:ascii="宋体"/>
          <w:bCs/>
          <w:szCs w:val="24"/>
        </w:rPr>
      </w:pPr>
      <w:r>
        <w:rPr>
          <w:rFonts w:hint="eastAsia" w:ascii="宋体" w:hAnsi="宋体"/>
          <w:b/>
          <w:szCs w:val="24"/>
        </w:rPr>
        <w:t>注：</w:t>
      </w:r>
      <w:r>
        <w:rPr>
          <w:rFonts w:ascii="宋体" w:hAnsi="宋体"/>
          <w:bCs/>
          <w:szCs w:val="24"/>
        </w:rPr>
        <w:t>1</w:t>
      </w:r>
      <w:r>
        <w:rPr>
          <w:rFonts w:hint="eastAsia" w:ascii="宋体" w:hAnsi="宋体"/>
          <w:bCs/>
          <w:szCs w:val="24"/>
        </w:rPr>
        <w:t>.依照《合伙企业法》、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原《合伙企业登记管理办法》、原《外国企业或者</w:t>
      </w:r>
      <w:r>
        <w:rPr>
          <w:rFonts w:hint="eastAsia" w:ascii="宋体" w:hAnsi="宋体" w:eastAsia="宋体" w:cs="Times New Roman"/>
          <w:szCs w:val="24"/>
        </w:rPr>
        <w:t>个人在中国境内设立合伙企业管理办法》</w:t>
      </w:r>
      <w:r>
        <w:rPr>
          <w:rFonts w:hint="eastAsia" w:ascii="宋体" w:hAnsi="宋体"/>
          <w:bCs/>
          <w:szCs w:val="24"/>
        </w:rPr>
        <w:t>设立的合伙企业注销登记适用本规范。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w:t>
      </w:r>
      <w:r>
        <w:rPr>
          <w:rFonts w:ascii="宋体" w:hAnsi="宋体"/>
        </w:rPr>
        <w:t>1</w:t>
      </w:r>
      <w:r>
        <w:rPr>
          <w:rFonts w:hint="eastAsia" w:ascii="宋体" w:hAnsi="宋体"/>
        </w:rPr>
        <w:t>、8项材料。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3、8以及人民法院宣告破产的裁定书、终结破产程序的裁定书原件或人民法院终结强制清算程序的裁定书原件（包括以无法清算或无法全面清算为由作出的裁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auto"/>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042C31"/>
    <w:multiLevelType w:val="multilevel"/>
    <w:tmpl w:val="3C042C31"/>
    <w:lvl w:ilvl="0" w:tentative="0">
      <w:start w:val="1"/>
      <w:numFmt w:val="chineseCountingThousand"/>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D3383"/>
    <w:rsid w:val="1F3D818C"/>
    <w:rsid w:val="2D4D3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2"/>
    <w:basedOn w:val="1"/>
    <w:next w:val="1"/>
    <w:unhideWhenUsed/>
    <w:qFormat/>
    <w:uiPriority w:val="9"/>
    <w:pPr>
      <w:keepNext/>
      <w:keepLines/>
      <w:numPr>
        <w:ilvl w:val="0"/>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numPr>
        <w:ilvl w:val="0"/>
        <w:numId w:val="2"/>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中山市市场监督管理局</Company>
  <Pages>1</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2023-06-07T14:26:00Z</dcterms:created>
  <dc:creator>吴晓莹</dc:creator>
  <cp:lastModifiedBy>曾</cp:lastModifiedBy>
  <dcterms:modified xsi:type="dcterms:W3CDTF">2024-06-21T20:17:31Z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900C92E7F8B347D25B6F756618F38434_43</vt:lpwstr>
  </property>
</Properties>
</file>